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I.P. Injection DCZ Prep: Protocol (August 24th, 2020)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5mg powder → use 2mg (weigh out)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General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25mg/mL into 1000uL(1mL) DMSO (stock solution)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Make stock solution: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2mg DCZ powder/80uL DMSO 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Vortex until in solution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Make 1.2uL aliquots; keep in 4C for future use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Injection: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1.2uL stock solution into 1mL saline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has a final concentration of 0.12% DCZ/DMSO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Dosing: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0.1mL per mouse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Example: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= 10; need 1mL (1.2uL stock in saline)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